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3E1B8A" w:rsidRDefault="000C1BBB"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Operating Budget</w:t>
      </w:r>
    </w:p>
    <w:p w:rsidR="000C1BBB" w:rsidRDefault="000C1BBB"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C1BBB" w:rsidRDefault="000C1BBB"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p>
    <w:p w:rsidR="000C1BBB" w:rsidRDefault="000C1BBB"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Operating Budget</w:t>
      </w:r>
    </w:p>
    <w:tbl>
      <w:tblPr>
        <w:tblStyle w:val="TableGrid"/>
        <w:tblW w:w="0" w:type="auto"/>
        <w:tblLook w:val="04A0" w:firstRow="1" w:lastRow="0" w:firstColumn="1" w:lastColumn="0" w:noHBand="0" w:noVBand="1"/>
      </w:tblPr>
      <w:tblGrid>
        <w:gridCol w:w="4788"/>
        <w:gridCol w:w="4788"/>
      </w:tblGrid>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Professional FTE</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Cot</w:t>
            </w:r>
          </w:p>
        </w:tc>
      </w:tr>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Clerical FTE</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$10,000</w:t>
            </w:r>
          </w:p>
        </w:tc>
      </w:tr>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Office Supplies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$15,000</w:t>
            </w:r>
          </w:p>
        </w:tc>
      </w:tr>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Salaries and Wages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$243,300</w:t>
            </w:r>
          </w:p>
        </w:tc>
      </w:tr>
      <w:tr w:rsidR="00921A2C" w:rsidTr="00921A2C">
        <w:tc>
          <w:tcPr>
            <w:tcW w:w="4788" w:type="dxa"/>
          </w:tcPr>
          <w:p w:rsidR="00921A2C" w:rsidRDefault="00D53C8F" w:rsidP="00921A2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Medical </w:t>
            </w:r>
            <w:r w:rsidR="00921A2C">
              <w:rPr>
                <w:rFonts w:ascii="Times New Roman" w:hAnsi="Times New Roman" w:cs="Times New Roman"/>
                <w:sz w:val="24"/>
                <w:szCs w:val="24"/>
              </w:rPr>
              <w:t xml:space="preserve"> Supplies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Rent/ depreciation. </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$44000</w:t>
            </w:r>
          </w:p>
        </w:tc>
      </w:tr>
      <w:tr w:rsidR="00921A2C" w:rsidTr="00921A2C">
        <w:tc>
          <w:tcPr>
            <w:tcW w:w="4788" w:type="dxa"/>
          </w:tcPr>
          <w:p w:rsidR="00921A2C" w:rsidRDefault="00921A2C" w:rsidP="00921A2C">
            <w:pPr>
              <w:spacing w:line="480" w:lineRule="auto"/>
              <w:rPr>
                <w:rFonts w:ascii="Times New Roman" w:hAnsi="Times New Roman" w:cs="Times New Roman"/>
                <w:sz w:val="24"/>
                <w:szCs w:val="24"/>
              </w:rPr>
            </w:pPr>
            <w:r>
              <w:rPr>
                <w:rFonts w:ascii="Times New Roman" w:hAnsi="Times New Roman" w:cs="Times New Roman"/>
                <w:sz w:val="24"/>
                <w:szCs w:val="24"/>
              </w:rPr>
              <w:t xml:space="preserve">                            Utilities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$12,136</w:t>
            </w:r>
          </w:p>
        </w:tc>
      </w:tr>
      <w:tr w:rsidR="00921A2C" w:rsidTr="00921A2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Other Expenses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$25,000</w:t>
            </w:r>
          </w:p>
        </w:tc>
      </w:tr>
      <w:tr w:rsidR="00921A2C" w:rsidTr="00921A2C">
        <w:tc>
          <w:tcPr>
            <w:tcW w:w="4788" w:type="dxa"/>
          </w:tcPr>
          <w:p w:rsidR="00921A2C" w:rsidRPr="00921A2C" w:rsidRDefault="00921A2C" w:rsidP="00921A2C">
            <w:pPr>
              <w:spacing w:line="480" w:lineRule="auto"/>
              <w:rPr>
                <w:rFonts w:ascii="Times New Roman" w:hAnsi="Times New Roman" w:cs="Times New Roman"/>
                <w:b/>
                <w:sz w:val="24"/>
                <w:szCs w:val="24"/>
              </w:rPr>
            </w:pPr>
            <w:r w:rsidRPr="00921A2C">
              <w:rPr>
                <w:rFonts w:ascii="Times New Roman" w:hAnsi="Times New Roman" w:cs="Times New Roman"/>
                <w:b/>
                <w:sz w:val="24"/>
                <w:szCs w:val="24"/>
              </w:rPr>
              <w:t>Total Operating Expenses</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$519636</w:t>
            </w:r>
          </w:p>
        </w:tc>
      </w:tr>
      <w:tr w:rsidR="00921A2C" w:rsidTr="00921A2C">
        <w:tc>
          <w:tcPr>
            <w:tcW w:w="4788" w:type="dxa"/>
          </w:tcPr>
          <w:p w:rsidR="00921A2C" w:rsidRDefault="00921A2C" w:rsidP="00921A2C">
            <w:pPr>
              <w:spacing w:line="480" w:lineRule="auto"/>
              <w:rPr>
                <w:rFonts w:ascii="Times New Roman" w:hAnsi="Times New Roman" w:cs="Times New Roman"/>
                <w:sz w:val="24"/>
                <w:szCs w:val="24"/>
              </w:rPr>
            </w:pPr>
            <w:r>
              <w:rPr>
                <w:rFonts w:ascii="Times New Roman" w:hAnsi="Times New Roman" w:cs="Times New Roman"/>
                <w:sz w:val="24"/>
                <w:szCs w:val="24"/>
              </w:rPr>
              <w:t>Average Expense per Patient Encounter</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$86.61</w:t>
            </w:r>
          </w:p>
        </w:tc>
      </w:tr>
      <w:tr w:rsidR="00921A2C" w:rsidTr="00921A2C">
        <w:tc>
          <w:tcPr>
            <w:tcW w:w="4788" w:type="dxa"/>
          </w:tcPr>
          <w:p w:rsidR="00921A2C" w:rsidRDefault="00921A2C" w:rsidP="00921A2C">
            <w:pPr>
              <w:spacing w:line="480" w:lineRule="auto"/>
              <w:rPr>
                <w:rFonts w:ascii="Times New Roman" w:hAnsi="Times New Roman" w:cs="Times New Roman"/>
                <w:sz w:val="24"/>
                <w:szCs w:val="24"/>
              </w:rPr>
            </w:pPr>
            <w:r>
              <w:rPr>
                <w:rFonts w:ascii="Times New Roman" w:hAnsi="Times New Roman" w:cs="Times New Roman"/>
                <w:sz w:val="24"/>
                <w:szCs w:val="24"/>
              </w:rPr>
              <w:t>Net Profit</w:t>
            </w:r>
          </w:p>
        </w:tc>
        <w:tc>
          <w:tcPr>
            <w:tcW w:w="4788" w:type="dxa"/>
          </w:tcPr>
          <w:p w:rsidR="00921A2C" w:rsidRDefault="00921A2C" w:rsidP="000C1BBB">
            <w:pPr>
              <w:spacing w:line="480" w:lineRule="auto"/>
              <w:jc w:val="center"/>
              <w:rPr>
                <w:rFonts w:ascii="Times New Roman" w:hAnsi="Times New Roman" w:cs="Times New Roman"/>
                <w:sz w:val="24"/>
                <w:szCs w:val="24"/>
              </w:rPr>
            </w:pPr>
            <w:r>
              <w:rPr>
                <w:rFonts w:ascii="Times New Roman" w:hAnsi="Times New Roman" w:cs="Times New Roman"/>
                <w:sz w:val="24"/>
                <w:szCs w:val="24"/>
              </w:rPr>
              <w:t>$10,364</w:t>
            </w:r>
          </w:p>
        </w:tc>
      </w:tr>
    </w:tbl>
    <w:p w:rsidR="000C1BBB" w:rsidRDefault="000C1BBB" w:rsidP="00921A2C">
      <w:pPr>
        <w:spacing w:line="480" w:lineRule="auto"/>
        <w:rPr>
          <w:rFonts w:ascii="Times New Roman" w:hAnsi="Times New Roman" w:cs="Times New Roman"/>
          <w:sz w:val="24"/>
          <w:szCs w:val="24"/>
        </w:rPr>
      </w:pPr>
    </w:p>
    <w:p w:rsidR="00581386" w:rsidRPr="00581386" w:rsidRDefault="00921A2C" w:rsidP="00581386">
      <w:pPr>
        <w:spacing w:line="480" w:lineRule="auto"/>
        <w:rPr>
          <w:rFonts w:ascii="Times New Roman" w:hAnsi="Times New Roman" w:cs="Times New Roman"/>
          <w:sz w:val="24"/>
          <w:szCs w:val="24"/>
        </w:rPr>
      </w:pPr>
      <w:r>
        <w:rPr>
          <w:rFonts w:ascii="Times New Roman" w:hAnsi="Times New Roman" w:cs="Times New Roman"/>
          <w:sz w:val="24"/>
          <w:szCs w:val="24"/>
        </w:rPr>
        <w:tab/>
      </w:r>
      <w:r w:rsidR="00EE04AD">
        <w:rPr>
          <w:rFonts w:ascii="Times New Roman" w:hAnsi="Times New Roman" w:cs="Times New Roman"/>
          <w:sz w:val="24"/>
          <w:szCs w:val="24"/>
        </w:rPr>
        <w:t xml:space="preserve"> </w:t>
      </w:r>
      <w:r w:rsidR="00581386" w:rsidRPr="00581386">
        <w:rPr>
          <w:rFonts w:ascii="Times New Roman" w:hAnsi="Times New Roman" w:cs="Times New Roman"/>
          <w:sz w:val="24"/>
          <w:szCs w:val="24"/>
        </w:rPr>
        <w:t>The budget was designed based on the daily operating expenses that the hospital incurs in providing services to the older population. In thi</w:t>
      </w:r>
      <w:bookmarkStart w:id="0" w:name="_GoBack"/>
      <w:bookmarkEnd w:id="0"/>
      <w:r w:rsidR="00581386" w:rsidRPr="00581386">
        <w:rPr>
          <w:rFonts w:ascii="Times New Roman" w:hAnsi="Times New Roman" w:cs="Times New Roman"/>
          <w:sz w:val="24"/>
          <w:szCs w:val="24"/>
        </w:rPr>
        <w:t>s regard, the full-time clerical equivalent (FTE) cost was chosen to encompass activities such as updating of computer databases, coordination of various departments within the facility, and offering of education to the nursing professionals. In this regard, it was determined that the facility with charges of hours per patient day (HPPD) of 9.5. The measurement of work is 35 patients. Therefore, the HPPD of 9.5 was multiplied by 35 to result in 332.5 hours. Therefore, the total direct labor was calculated by multiplying the number of clerical staff with direct labor hours as well as the costs incurred per labor delivery. The hours indicated the number of hours that the clerical staff needed per 24 hours within a day for every clerical staff. Also, the office supplies expenditure comprised items such as office glue, pens, pencils, note pads, etc. The total costs incurred per day due to the aforementioned expenditure sums up to $10,000 per day. The supplies are direct materials that facilitate the delivery of care services to the older demographic. Medical supplies costs comprise diagnostic and testing equipment, old care medication, surgical tools, diabetes medicine, life-saving devices, and electronic machines. The medical supplies are the ones that are used on a day-to-day basis to meet the care needs of the old population. The expenditure constituted a general administrative budget. The supplies are often offset using cash that is obtained from the overall cash flow within the care unit.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Moreover, the salaries and wages for the nursing staff were determined from the nurses’ payrolls. In this regard, it was established that the nursing positions that need to be filled, as well as the existing nurses will incur a total expenditure of $243,300. The salaries and wages were determined based on the skill mix framework. The budget was determined based on the levels of various nursing qualifications within the hospital. Therefore, the total included the costs of hiring registered nurses, licensed practicing nurses, unit secretary, and the assistive personnel. Evidence-based practices depict that registered nurses are the ones that have the highest set of skills. Therefore, this category of nurses was the ones that contributed the highest percentage of the salaries and wages budget. In this regard, the registered nurses were paid a total of $60.30 per house using an HPPD of 9.0. The wages and salaries costs were also determined based on the number of hours that the nurse would work per shift. The facility will require two additional registered nurses to fill the vacant positions. Also, it will need one more assistive nurse to help with the workload in the care unit.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In addition, rent expenditure costs were based on the money that the care facility pays the owner of the premise on which the care facility is established. In this regard, the care facility is required to pay monthly remittance to the building owner to allow it to continue its operations. Therefore, the cost amounted to $44,000 per month. The utility costs entailed the expenditure incurred on water, electricity, and the internet. Thus, the costs were distributed over the three utilities, and it amounted to $12,136. Other miscellaneous expenses that the care facility incurs amounted to $25,000. The expenses comprised costs that are not part of the normal day-to-day operations. The costs included expenses on transport and fuel used to transport the old patients to emergency care units. In this regard, the total expenditure amounted to $519,636.</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b/>
          <w:bCs/>
          <w:sz w:val="24"/>
          <w:szCs w:val="24"/>
        </w:rPr>
        <w:t>The Strategic Plan</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The strategic approach for the care unit is to enhance optimal patient satisfaction. The hospital aims to reach the 75th percentile by 2022. Therefore, the care facility aims to increase the number of nurses that take care of patients per bed. Also, the facility aims to ensure that a nurse is always available to tend to the care needs of patients in the 35 beds. Thus, the management is developing holistic solutions that focus on bedside reporting that ensures that the health statuses of the patients are recorded every day. In doing, the care facility will be able to monitor the progress of the patients in a bid to ensure the maximal quality of life for the old patients. Also, the approach will ensure that nurses are not overworked since there will be a shift schedule that delegates the number of hours that the nurses should spend with the patients (UC Irvine Health, 2017). Therefore, the strategy will improve nurse satisfaction and performance; thereby, they will less likely change jobs. As a result, the care unit will not incur additional costs associated with hiring and recruiting new nurses.</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Another approach that the care facility should take into account is the continual improvement and assessment of nursing quality. The nurses are required to meet the nursing quality indicators that relate to pain, falls, skincare, hand hygiene, and infection prevention (Nursing Management, 2009). The nursing indicators mentioned above will ensure maximum care outcomes. The old patients will have their longevity and quality of life increased when optimal nursing practices are observed to the latter. Therefore, the patients will less likely vulnerable to relapse and readmission. As a result, the care facility will not incur the expenses associated with readmissions. Thus, the care organization is looking to participate in the flow sheet redesign frameworks that identify the aforementioned metrics in a bid to find appropriate solutions to the same.</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In addition, nursing innovation and excellence need to be promoted in the nursing setting to promote the flow of daily work. Therefore, the unit’s management should develop a comprehensive communication plan that promotes care coordination and efficiency. Sound communication frameworks will ensure that patients’ health records are accessed, disseminated, and updated appropriately. Besides, the establishment of collaborative efforts among nurses will enhance the utilization of evidence-based practice to treat old patients. The approach will ensure that nursing professionals can make accurate decisions on the factors impeding the delivery of quality care to the patients (</w:t>
      </w:r>
      <w:proofErr w:type="spellStart"/>
      <w:r w:rsidRPr="00581386">
        <w:rPr>
          <w:rFonts w:ascii="Times New Roman" w:hAnsi="Times New Roman" w:cs="Times New Roman"/>
          <w:sz w:val="24"/>
          <w:szCs w:val="24"/>
        </w:rPr>
        <w:t>Alina</w:t>
      </w:r>
      <w:proofErr w:type="spellEnd"/>
      <w:r w:rsidRPr="00581386">
        <w:rPr>
          <w:rFonts w:ascii="Times New Roman" w:hAnsi="Times New Roman" w:cs="Times New Roman"/>
          <w:sz w:val="24"/>
          <w:szCs w:val="24"/>
        </w:rPr>
        <w:t xml:space="preserve"> Health, 2016). The communication and the data analytics framework will promote the assessment of health determinants that need to be rectified. The change process within the facility will require the adoption of patient-centered culture and the integration of technology in care delivery. In doing so, the hospital will be able to mitigate medical errors that cause adverse effects on the patients. Therefore, the care facility will not incur additional costs associated with re-administration of treatments, and even worse, litigation expenses. Also, improved organizational efficiency will help avoid wastages of medical and office supplies. Therefore, the organization will be able to reduce costs related to the purchases of unnecessary supplies.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Lastly, the strategic plan will aim to strengthen the nursing leadership within the care unit. In this regard, leadership roles need to be defined to ensure that care coherence is achieved. Disjointed care operation causes delays and reduces employee satisfaction. Therefore, the leaders in charge of the unit should use dynamic leadership strategies to ensure that both the nursing staff and patients are satisfied. The leaders should have high emotional intelligence to respond to the nursing and patient needs effectively. Also, the leaders should use appropriate communication approaches that ensure effective delivery of care instructions (</w:t>
      </w:r>
      <w:proofErr w:type="spellStart"/>
      <w:r w:rsidRPr="00581386">
        <w:rPr>
          <w:rFonts w:ascii="Times New Roman" w:hAnsi="Times New Roman" w:cs="Times New Roman"/>
          <w:sz w:val="24"/>
          <w:szCs w:val="24"/>
        </w:rPr>
        <w:t>Alina</w:t>
      </w:r>
      <w:proofErr w:type="spellEnd"/>
      <w:r w:rsidRPr="00581386">
        <w:rPr>
          <w:rFonts w:ascii="Times New Roman" w:hAnsi="Times New Roman" w:cs="Times New Roman"/>
          <w:sz w:val="24"/>
          <w:szCs w:val="24"/>
        </w:rPr>
        <w:t xml:space="preserve"> Health, 2016). In doing so, the leaders will be able to establish constructive relationships with the nurses and the patients, therefore, creating a positive working environment. In the end, the care facility will be able to reduce delays since their leaders will ensure proper workflow. Delays are costly to the organization with regards to the costs and time. Thus, an effective leadership paradigm will ensure that patients are administered with interventions as fast as possible. Besides, the time </w:t>
      </w:r>
      <w:proofErr w:type="spellStart"/>
      <w:r w:rsidRPr="00581386">
        <w:rPr>
          <w:rFonts w:ascii="Times New Roman" w:hAnsi="Times New Roman" w:cs="Times New Roman"/>
          <w:sz w:val="24"/>
          <w:szCs w:val="24"/>
        </w:rPr>
        <w:t>pent</w:t>
      </w:r>
      <w:proofErr w:type="spellEnd"/>
      <w:r w:rsidRPr="00581386">
        <w:rPr>
          <w:rFonts w:ascii="Times New Roman" w:hAnsi="Times New Roman" w:cs="Times New Roman"/>
          <w:sz w:val="24"/>
          <w:szCs w:val="24"/>
        </w:rPr>
        <w:t xml:space="preserve"> on each patient will be reduced significantly since the nurses will be working collaboratively to come to solutions to their respective care needs.</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b/>
          <w:bCs/>
          <w:sz w:val="24"/>
          <w:szCs w:val="24"/>
        </w:rPr>
        <w:t>Ongoing Budget Management</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Budget management will be promoted using technological aids to track expenses through data analytics. The data analytics framework will ensure that all service and patient data are captured to determine operating budget areas that contribute significantly to increased expenditure. The power analytics tools accompanied by artificial intelligence AI-powered algorithms will promote effective budget management. The tools will analyze budgeting metrics that are pertinent to the organization, and the results of the data analysis will be used to improve the overall quality of care. For example, the technological system can calculate shift hours for the nurses and indicate the ones that are neglecting their duties. Nurses will be required to confirm their report hours in the system. Specific targets, such as overtime, will be tracked based on the number of hours that the nurses work. The payment of the amount presented above to offset wages and salaries will be justified since the nurses will work as stipulated in the delegation schedules. The care facility will not have to pay the nurses for the hours that they missed. Also, the digital framework will help the healthcare facility determine risks and opportunities that should be considered in the delivery care services to old patients. The approach will help the healthcare organization to determine how patient volume correlates to staffing (Walsh, 2016). The phenomenon will evoke the creation of a work culture that streamlines care operations so that any challenges in the clinical settings are solved amicably with the available material and human resources. Thus, nurses can determine interventions and medication regimens that result in maximum treatment outcomes.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Also, the technological framework will promote communication within the care facility since it will allow nursing professionals to share health records efficiently. The nurses will be able to send messages to each other and gather feedback on the same. Therefore, the information flow pathway will maintain high levels of accountability and transparency. As a result, the management will be able to monitor the spending within the care unit. Adopting communication systems will also enable the management to identify misappropriation and cases of fraud. In doing so, the care facility ensures that the budget allocation is utilized appropriately to avoid losses associated with theft, fraud, and misappropriation. The managers will use the data presented in the spreadsheets within the systems to assess the actual budget and the outcomes.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Besides, the healthcare organization needs to adopt a holistic accounting system that does all the in-house financing. Thus, the accounting system will ensure all the operating budget deliverables are recorded using sound reporting techniques. The approach will sustain the proposed budget allocation since it ensures optimal Return on Investment (ROI) for the area capital areas. The capital will be distributed throughout the budget and the necessary financial statements such as balance sheets generated. Therefore, the healthcare facility will be able to examine whether the existing operating budget expenses lead to losses. The monetary allotments to the various budget areas should reflect correctly on the position of the hospital to ensure quality care delivery to the old population. Optimal or suboptimal usage of the operating budget will reflect in the financial statements that will be presented to the management using spreadsheets such as Excel. Appropriate accounting systems will also aid in decision-making with regards to the analysis of crucial budgetary elements (</w:t>
      </w:r>
      <w:proofErr w:type="spellStart"/>
      <w:r w:rsidRPr="00581386">
        <w:rPr>
          <w:rFonts w:ascii="Times New Roman" w:hAnsi="Times New Roman" w:cs="Times New Roman"/>
          <w:sz w:val="24"/>
          <w:szCs w:val="24"/>
        </w:rPr>
        <w:t>Ramanjaneyulu</w:t>
      </w:r>
      <w:proofErr w:type="spellEnd"/>
      <w:r w:rsidRPr="00581386">
        <w:rPr>
          <w:rFonts w:ascii="Times New Roman" w:hAnsi="Times New Roman" w:cs="Times New Roman"/>
          <w:sz w:val="24"/>
          <w:szCs w:val="24"/>
        </w:rPr>
        <w:t xml:space="preserve">, </w:t>
      </w:r>
      <w:proofErr w:type="spellStart"/>
      <w:r w:rsidRPr="00581386">
        <w:rPr>
          <w:rFonts w:ascii="Times New Roman" w:hAnsi="Times New Roman" w:cs="Times New Roman"/>
          <w:sz w:val="24"/>
          <w:szCs w:val="24"/>
        </w:rPr>
        <w:t>Babu</w:t>
      </w:r>
      <w:proofErr w:type="spellEnd"/>
      <w:r w:rsidRPr="00581386">
        <w:rPr>
          <w:rFonts w:ascii="Times New Roman" w:hAnsi="Times New Roman" w:cs="Times New Roman"/>
          <w:sz w:val="24"/>
          <w:szCs w:val="24"/>
        </w:rPr>
        <w:t xml:space="preserve">, &amp; </w:t>
      </w:r>
      <w:proofErr w:type="spellStart"/>
      <w:r w:rsidRPr="00581386">
        <w:rPr>
          <w:rFonts w:ascii="Times New Roman" w:hAnsi="Times New Roman" w:cs="Times New Roman"/>
          <w:sz w:val="24"/>
          <w:szCs w:val="24"/>
        </w:rPr>
        <w:t>Srinivasarao</w:t>
      </w:r>
      <w:proofErr w:type="spellEnd"/>
      <w:r w:rsidRPr="00581386">
        <w:rPr>
          <w:rFonts w:ascii="Times New Roman" w:hAnsi="Times New Roman" w:cs="Times New Roman"/>
          <w:sz w:val="24"/>
          <w:szCs w:val="24"/>
        </w:rPr>
        <w:t>, 2014). Afterward, the management will need to come up with strategic solutions to budget areas that contribute to healthcare disparities. Shrewd spending is becoming a trend in the modern healthcare landscape in the face of increased care costs. Following this logic, healthcare facilities need to save reasonable amounts to ensure profit sustainability. </w:t>
      </w:r>
    </w:p>
    <w:p w:rsidR="00581386" w:rsidRPr="00581386" w:rsidRDefault="00581386" w:rsidP="00581386">
      <w:pPr>
        <w:spacing w:line="480" w:lineRule="auto"/>
        <w:rPr>
          <w:rFonts w:ascii="Times New Roman" w:hAnsi="Times New Roman" w:cs="Times New Roman"/>
          <w:sz w:val="24"/>
          <w:szCs w:val="24"/>
        </w:rPr>
      </w:pPr>
      <w:r w:rsidRPr="00581386">
        <w:rPr>
          <w:rFonts w:ascii="Times New Roman" w:hAnsi="Times New Roman" w:cs="Times New Roman"/>
          <w:sz w:val="24"/>
          <w:szCs w:val="24"/>
        </w:rPr>
        <w:t>           Furthermore, the healthcare facility will use data analytics to predict that they are likely to arise in the future with regards to the complexity of the older population’s care needs. The ongoing operating budget proposal takes into account the budget lines in relation to the staffing ours and supplies needs. The predictive model will be able to determine how staffing and supplies will be impacted negatively in case the unprecedented circumstances emerge. The prediction will be made to align with the existing operational costs that the hospital incurs on a day-to-day basis. Situations that are likely to affect the budgetary allocation negatively will be identified early and appropriate solutions to the same developed. Also, it will help the management to manage staff hours in such a way that nursing practitioners are paid for their stipulated working schedules. Notably, the management will be able to determine how the existing working hours affect the performance of nursing practitioners. Using the data analysis of the nurses’ performance will enable management to determine incentives that should offer them to improve workplace morale. In doing so, the healthcare organization will lose its staff due to poor working conditions. A quality nursing environment will prompt the nurses to endeavor to achieve the organization’s goal of offering patient-centered services. Overall, the predictive paradigm will help assess areas that should be improved to avoid delays, wastages, fraud, and medical errors. The costs associated with the metrics mentioned will be managed effectively to prevent the occurrence of unnecessary expenses. </w:t>
      </w:r>
    </w:p>
    <w:p w:rsidR="00393A12" w:rsidRDefault="00393A12" w:rsidP="00581386">
      <w:pPr>
        <w:spacing w:line="480" w:lineRule="auto"/>
        <w:rPr>
          <w:rFonts w:ascii="Times New Roman" w:hAnsi="Times New Roman" w:cs="Times New Roman"/>
          <w:sz w:val="24"/>
          <w:szCs w:val="24"/>
        </w:rPr>
      </w:pPr>
    </w:p>
    <w:p w:rsidR="00EE04AD" w:rsidRDefault="00EE04AD" w:rsidP="00EE04A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60FAD" w:rsidRDefault="00E60FAD" w:rsidP="00E60FAD">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Alina</w:t>
      </w:r>
      <w:proofErr w:type="spellEnd"/>
      <w:r>
        <w:rPr>
          <w:rFonts w:ascii="Times New Roman" w:hAnsi="Times New Roman" w:cs="Times New Roman"/>
          <w:sz w:val="24"/>
          <w:szCs w:val="24"/>
        </w:rPr>
        <w:t xml:space="preserve"> Health. (2016). </w:t>
      </w:r>
      <w:proofErr w:type="gramStart"/>
      <w:r>
        <w:rPr>
          <w:rFonts w:ascii="Times New Roman" w:hAnsi="Times New Roman" w:cs="Times New Roman"/>
          <w:sz w:val="24"/>
          <w:szCs w:val="24"/>
        </w:rPr>
        <w:t>Nursing</w:t>
      </w:r>
      <w:proofErr w:type="gramEnd"/>
      <w:r>
        <w:rPr>
          <w:rFonts w:ascii="Times New Roman" w:hAnsi="Times New Roman" w:cs="Times New Roman"/>
          <w:sz w:val="24"/>
          <w:szCs w:val="24"/>
        </w:rPr>
        <w:t xml:space="preserve"> strategic plan: United Hospital. </w:t>
      </w:r>
      <w:proofErr w:type="gramStart"/>
      <w:r>
        <w:rPr>
          <w:rFonts w:ascii="Times New Roman" w:hAnsi="Times New Roman" w:cs="Times New Roman"/>
          <w:sz w:val="24"/>
          <w:szCs w:val="24"/>
        </w:rPr>
        <w:t>1-4.</w:t>
      </w:r>
      <w:proofErr w:type="gramEnd"/>
    </w:p>
    <w:p w:rsidR="00E60FAD" w:rsidRDefault="00E60FAD" w:rsidP="00E60FAD">
      <w:pPr>
        <w:spacing w:line="480" w:lineRule="auto"/>
        <w:rPr>
          <w:rFonts w:ascii="Times New Roman" w:hAnsi="Times New Roman" w:cs="Times New Roman"/>
          <w:sz w:val="24"/>
          <w:szCs w:val="24"/>
        </w:rPr>
      </w:pPr>
      <w:proofErr w:type="gramStart"/>
      <w:r w:rsidRPr="00E60FAD">
        <w:rPr>
          <w:rFonts w:ascii="Times New Roman" w:hAnsi="Times New Roman" w:cs="Times New Roman"/>
          <w:sz w:val="24"/>
          <w:szCs w:val="24"/>
        </w:rPr>
        <w:t>Nursing Management.</w:t>
      </w:r>
      <w:proofErr w:type="gramEnd"/>
      <w:r w:rsidRPr="00E60FAD">
        <w:rPr>
          <w:rFonts w:ascii="Times New Roman" w:hAnsi="Times New Roman" w:cs="Times New Roman"/>
          <w:sz w:val="24"/>
          <w:szCs w:val="24"/>
        </w:rPr>
        <w:t xml:space="preserve"> (2009). Nursing strategy. </w:t>
      </w:r>
      <w:proofErr w:type="gramStart"/>
      <w:r w:rsidRPr="00E60FAD">
        <w:rPr>
          <w:rFonts w:ascii="Times New Roman" w:hAnsi="Times New Roman" w:cs="Times New Roman"/>
          <w:i/>
          <w:iCs/>
          <w:sz w:val="24"/>
          <w:szCs w:val="24"/>
        </w:rPr>
        <w:t>Nursing Management (Springhouse)</w:t>
      </w:r>
      <w:r w:rsidRPr="00E60FAD">
        <w:rPr>
          <w:rFonts w:ascii="Times New Roman" w:hAnsi="Times New Roman" w:cs="Times New Roman"/>
          <w:sz w:val="24"/>
          <w:szCs w:val="24"/>
        </w:rPr>
        <w:t>, </w:t>
      </w:r>
      <w:r w:rsidRPr="00E60FAD">
        <w:rPr>
          <w:rFonts w:ascii="Times New Roman" w:hAnsi="Times New Roman" w:cs="Times New Roman"/>
          <w:i/>
          <w:iCs/>
          <w:sz w:val="24"/>
          <w:szCs w:val="24"/>
        </w:rPr>
        <w:t>40</w:t>
      </w:r>
      <w:r w:rsidRPr="00E60FAD">
        <w:rPr>
          <w:rFonts w:ascii="Times New Roman" w:hAnsi="Times New Roman" w:cs="Times New Roman"/>
          <w:sz w:val="24"/>
          <w:szCs w:val="24"/>
        </w:rPr>
        <w:t>(3), 29–30.</w:t>
      </w:r>
      <w:proofErr w:type="gramEnd"/>
      <w:r w:rsidRPr="00E60FAD">
        <w:rPr>
          <w:rFonts w:ascii="Times New Roman" w:hAnsi="Times New Roman" w:cs="Times New Roman"/>
          <w:sz w:val="24"/>
          <w:szCs w:val="24"/>
        </w:rPr>
        <w:t xml:space="preserve"> </w:t>
      </w:r>
      <w:r>
        <w:rPr>
          <w:rFonts w:ascii="Times New Roman" w:hAnsi="Times New Roman" w:cs="Times New Roman"/>
          <w:sz w:val="24"/>
          <w:szCs w:val="24"/>
        </w:rPr>
        <w:tab/>
      </w:r>
      <w:hyperlink r:id="rId7" w:history="1">
        <w:r w:rsidRPr="00002D83">
          <w:rPr>
            <w:rStyle w:val="Hyperlink"/>
            <w:rFonts w:ascii="Times New Roman" w:hAnsi="Times New Roman" w:cs="Times New Roman"/>
            <w:sz w:val="24"/>
            <w:szCs w:val="24"/>
          </w:rPr>
          <w:t>https://doi.org/10.1097/01.numa.0000347410.73201.4b</w:t>
        </w:r>
      </w:hyperlink>
    </w:p>
    <w:p w:rsidR="00E60FAD" w:rsidRDefault="00E60FAD" w:rsidP="00E60FAD">
      <w:pPr>
        <w:spacing w:line="480" w:lineRule="auto"/>
        <w:rPr>
          <w:rFonts w:ascii="Times New Roman" w:hAnsi="Times New Roman" w:cs="Times New Roman"/>
          <w:sz w:val="24"/>
          <w:szCs w:val="24"/>
        </w:rPr>
      </w:pPr>
      <w:proofErr w:type="spellStart"/>
      <w:proofErr w:type="gramStart"/>
      <w:r w:rsidRPr="00E60FAD">
        <w:rPr>
          <w:rFonts w:ascii="Times New Roman" w:hAnsi="Times New Roman" w:cs="Times New Roman"/>
          <w:sz w:val="24"/>
          <w:szCs w:val="24"/>
        </w:rPr>
        <w:t>Ramanjaneyulu</w:t>
      </w:r>
      <w:proofErr w:type="spellEnd"/>
      <w:r w:rsidRPr="00E60FAD">
        <w:rPr>
          <w:rFonts w:ascii="Times New Roman" w:hAnsi="Times New Roman" w:cs="Times New Roman"/>
          <w:sz w:val="24"/>
          <w:szCs w:val="24"/>
        </w:rPr>
        <w:t xml:space="preserve">, V., </w:t>
      </w:r>
      <w:proofErr w:type="spellStart"/>
      <w:r w:rsidRPr="00E60FAD">
        <w:rPr>
          <w:rFonts w:ascii="Times New Roman" w:hAnsi="Times New Roman" w:cs="Times New Roman"/>
          <w:sz w:val="24"/>
          <w:szCs w:val="24"/>
        </w:rPr>
        <w:t>Babu</w:t>
      </w:r>
      <w:proofErr w:type="spellEnd"/>
      <w:r w:rsidRPr="00E60FAD">
        <w:rPr>
          <w:rFonts w:ascii="Times New Roman" w:hAnsi="Times New Roman" w:cs="Times New Roman"/>
          <w:sz w:val="24"/>
          <w:szCs w:val="24"/>
        </w:rPr>
        <w:t xml:space="preserve">, R., &amp; </w:t>
      </w:r>
      <w:proofErr w:type="spellStart"/>
      <w:r w:rsidRPr="00E60FAD">
        <w:rPr>
          <w:rFonts w:ascii="Times New Roman" w:hAnsi="Times New Roman" w:cs="Times New Roman"/>
          <w:sz w:val="24"/>
          <w:szCs w:val="24"/>
        </w:rPr>
        <w:t>Srinivasarao</w:t>
      </w:r>
      <w:proofErr w:type="spellEnd"/>
      <w:r w:rsidRPr="00E60FAD">
        <w:rPr>
          <w:rFonts w:ascii="Times New Roman" w:hAnsi="Times New Roman" w:cs="Times New Roman"/>
          <w:sz w:val="24"/>
          <w:szCs w:val="24"/>
        </w:rPr>
        <w:t>, F. (2014).</w:t>
      </w:r>
      <w:proofErr w:type="gramEnd"/>
      <w:r w:rsidRPr="00E60FAD">
        <w:rPr>
          <w:rFonts w:ascii="Times New Roman" w:hAnsi="Times New Roman" w:cs="Times New Roman"/>
          <w:sz w:val="24"/>
          <w:szCs w:val="24"/>
        </w:rPr>
        <w:t xml:space="preserve"> (PDF) </w:t>
      </w:r>
      <w:proofErr w:type="gramStart"/>
      <w:r w:rsidRPr="00E60FAD">
        <w:rPr>
          <w:rFonts w:ascii="Times New Roman" w:hAnsi="Times New Roman" w:cs="Times New Roman"/>
          <w:sz w:val="24"/>
          <w:szCs w:val="24"/>
        </w:rPr>
        <w:t xml:space="preserve">A BUDGET PLANNING MODEL </w:t>
      </w:r>
      <w:r>
        <w:rPr>
          <w:rFonts w:ascii="Times New Roman" w:hAnsi="Times New Roman" w:cs="Times New Roman"/>
          <w:sz w:val="24"/>
          <w:szCs w:val="24"/>
        </w:rPr>
        <w:tab/>
      </w:r>
      <w:r w:rsidRPr="00E60FAD">
        <w:rPr>
          <w:rFonts w:ascii="Times New Roman" w:hAnsi="Times New Roman" w:cs="Times New Roman"/>
          <w:sz w:val="24"/>
          <w:szCs w:val="24"/>
        </w:rPr>
        <w:t>FOR HEALTH CARE CLINICS.</w:t>
      </w:r>
      <w:proofErr w:type="gramEnd"/>
      <w:r w:rsidRPr="00E60FAD">
        <w:rPr>
          <w:rFonts w:ascii="Times New Roman" w:hAnsi="Times New Roman" w:cs="Times New Roman"/>
          <w:sz w:val="24"/>
          <w:szCs w:val="24"/>
        </w:rPr>
        <w:t xml:space="preserve"> Retrieved June 18, 2020, from </w:t>
      </w:r>
      <w:proofErr w:type="spellStart"/>
      <w:r w:rsidRPr="00E60FAD">
        <w:rPr>
          <w:rFonts w:ascii="Times New Roman" w:hAnsi="Times New Roman" w:cs="Times New Roman"/>
          <w:sz w:val="24"/>
          <w:szCs w:val="24"/>
        </w:rPr>
        <w:t>ResearchGate</w:t>
      </w:r>
      <w:proofErr w:type="spellEnd"/>
      <w:r w:rsidRPr="00E60FAD">
        <w:rPr>
          <w:rFonts w:ascii="Times New Roman" w:hAnsi="Times New Roman" w:cs="Times New Roman"/>
          <w:sz w:val="24"/>
          <w:szCs w:val="24"/>
        </w:rPr>
        <w:t xml:space="preserve"> website: </w:t>
      </w:r>
      <w:r>
        <w:rPr>
          <w:rFonts w:ascii="Times New Roman" w:hAnsi="Times New Roman" w:cs="Times New Roman"/>
          <w:sz w:val="24"/>
          <w:szCs w:val="24"/>
        </w:rPr>
        <w:tab/>
      </w:r>
      <w:hyperlink r:id="rId8" w:history="1">
        <w:r w:rsidRPr="00002D83">
          <w:rPr>
            <w:rStyle w:val="Hyperlink"/>
            <w:rFonts w:ascii="Times New Roman" w:hAnsi="Times New Roman" w:cs="Times New Roman"/>
            <w:sz w:val="24"/>
            <w:szCs w:val="24"/>
          </w:rPr>
          <w:t>https://www.researchgate.net/publication/281280584_A_BUDGET_PLANNING_MODEL_FOR_HEALTH_CARE_CLINICS</w:t>
        </w:r>
      </w:hyperlink>
      <w:r w:rsidRPr="00E60FAD">
        <w:rPr>
          <w:rFonts w:ascii="Times New Roman" w:hAnsi="Times New Roman" w:cs="Times New Roman"/>
          <w:sz w:val="24"/>
          <w:szCs w:val="24"/>
        </w:rPr>
        <w:t>?</w:t>
      </w:r>
    </w:p>
    <w:p w:rsidR="009E73E2" w:rsidRDefault="009E73E2" w:rsidP="00E60FAD">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UC Irvine Health.</w:t>
      </w:r>
      <w:proofErr w:type="gramEnd"/>
      <w:r>
        <w:rPr>
          <w:rFonts w:ascii="Times New Roman" w:hAnsi="Times New Roman" w:cs="Times New Roman"/>
          <w:sz w:val="24"/>
          <w:szCs w:val="24"/>
        </w:rPr>
        <w:t xml:space="preserve"> (2017). Nursing strategic planning summary. Advancing the Future of Healthcare,</w:t>
      </w:r>
    </w:p>
    <w:p w:rsidR="009E73E2" w:rsidRDefault="009E73E2" w:rsidP="00E60FA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1-6.</w:t>
      </w:r>
      <w:proofErr w:type="gramEnd"/>
    </w:p>
    <w:p w:rsidR="00EE04AD" w:rsidRDefault="00E60FAD" w:rsidP="00E60FAD">
      <w:pPr>
        <w:spacing w:line="480" w:lineRule="auto"/>
        <w:rPr>
          <w:rFonts w:ascii="Times New Roman" w:hAnsi="Times New Roman" w:cs="Times New Roman"/>
          <w:sz w:val="24"/>
          <w:szCs w:val="24"/>
        </w:rPr>
      </w:pPr>
      <w:r w:rsidRPr="00E60FAD">
        <w:rPr>
          <w:rFonts w:ascii="Times New Roman" w:hAnsi="Times New Roman" w:cs="Times New Roman"/>
          <w:sz w:val="24"/>
          <w:szCs w:val="24"/>
        </w:rPr>
        <w:t xml:space="preserve">Walsh K. (2016). </w:t>
      </w:r>
      <w:proofErr w:type="gramStart"/>
      <w:r w:rsidRPr="00E60FAD">
        <w:rPr>
          <w:rFonts w:ascii="Times New Roman" w:hAnsi="Times New Roman" w:cs="Times New Roman"/>
          <w:sz w:val="24"/>
          <w:szCs w:val="24"/>
        </w:rPr>
        <w:t>Managing a Budget in Healthcare Professional Education.</w:t>
      </w:r>
      <w:proofErr w:type="gramEnd"/>
      <w:r w:rsidRPr="00E60FAD">
        <w:rPr>
          <w:rFonts w:ascii="Times New Roman" w:hAnsi="Times New Roman" w:cs="Times New Roman"/>
          <w:sz w:val="24"/>
          <w:szCs w:val="24"/>
        </w:rPr>
        <w:t> </w:t>
      </w:r>
      <w:r w:rsidRPr="00E60FAD">
        <w:rPr>
          <w:rFonts w:ascii="Times New Roman" w:hAnsi="Times New Roman" w:cs="Times New Roman"/>
          <w:i/>
          <w:iCs/>
          <w:sz w:val="24"/>
          <w:szCs w:val="24"/>
        </w:rPr>
        <w:t xml:space="preserve">Annals of medical and </w:t>
      </w:r>
      <w:r>
        <w:rPr>
          <w:rFonts w:ascii="Times New Roman" w:hAnsi="Times New Roman" w:cs="Times New Roman"/>
          <w:i/>
          <w:iCs/>
          <w:sz w:val="24"/>
          <w:szCs w:val="24"/>
        </w:rPr>
        <w:tab/>
      </w:r>
      <w:r w:rsidRPr="00E60FAD">
        <w:rPr>
          <w:rFonts w:ascii="Times New Roman" w:hAnsi="Times New Roman" w:cs="Times New Roman"/>
          <w:i/>
          <w:iCs/>
          <w:sz w:val="24"/>
          <w:szCs w:val="24"/>
        </w:rPr>
        <w:t>health sciences research</w:t>
      </w:r>
      <w:r w:rsidRPr="00E60FAD">
        <w:rPr>
          <w:rFonts w:ascii="Times New Roman" w:hAnsi="Times New Roman" w:cs="Times New Roman"/>
          <w:sz w:val="24"/>
          <w:szCs w:val="24"/>
        </w:rPr>
        <w:t>, </w:t>
      </w:r>
      <w:r w:rsidRPr="00E60FAD">
        <w:rPr>
          <w:rFonts w:ascii="Times New Roman" w:hAnsi="Times New Roman" w:cs="Times New Roman"/>
          <w:i/>
          <w:iCs/>
          <w:sz w:val="24"/>
          <w:szCs w:val="24"/>
        </w:rPr>
        <w:t>6</w:t>
      </w:r>
      <w:r w:rsidRPr="00E60FAD">
        <w:rPr>
          <w:rFonts w:ascii="Times New Roman" w:hAnsi="Times New Roman" w:cs="Times New Roman"/>
          <w:sz w:val="24"/>
          <w:szCs w:val="24"/>
        </w:rPr>
        <w:t>(2), 71–73. https://doi.org/10.4103/2141-9248.181841</w:t>
      </w: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Default="00EE04AD" w:rsidP="00921A2C">
      <w:pPr>
        <w:spacing w:line="480" w:lineRule="auto"/>
        <w:rPr>
          <w:rFonts w:ascii="Times New Roman" w:hAnsi="Times New Roman" w:cs="Times New Roman"/>
          <w:sz w:val="24"/>
          <w:szCs w:val="24"/>
        </w:rPr>
      </w:pPr>
    </w:p>
    <w:p w:rsidR="00EE04AD" w:rsidRPr="000C1BBB" w:rsidRDefault="00EE04AD" w:rsidP="00921A2C">
      <w:pPr>
        <w:spacing w:line="480" w:lineRule="auto"/>
        <w:rPr>
          <w:rFonts w:ascii="Times New Roman" w:hAnsi="Times New Roman" w:cs="Times New Roman"/>
          <w:sz w:val="24"/>
          <w:szCs w:val="24"/>
        </w:rPr>
      </w:pPr>
    </w:p>
    <w:sectPr w:rsidR="00EE04AD" w:rsidRPr="000C1BBB" w:rsidSect="000C1BB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FC0" w:rsidRDefault="00887FC0" w:rsidP="000C1BBB">
      <w:pPr>
        <w:spacing w:after="0" w:line="240" w:lineRule="auto"/>
      </w:pPr>
      <w:r>
        <w:separator/>
      </w:r>
    </w:p>
  </w:endnote>
  <w:endnote w:type="continuationSeparator" w:id="0">
    <w:p w:rsidR="00887FC0" w:rsidRDefault="00887FC0" w:rsidP="000C1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FC0" w:rsidRDefault="00887FC0" w:rsidP="000C1BBB">
      <w:pPr>
        <w:spacing w:after="0" w:line="240" w:lineRule="auto"/>
      </w:pPr>
      <w:r>
        <w:separator/>
      </w:r>
    </w:p>
  </w:footnote>
  <w:footnote w:type="continuationSeparator" w:id="0">
    <w:p w:rsidR="00887FC0" w:rsidRDefault="00887FC0" w:rsidP="000C1B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BBB" w:rsidRPr="000C1BBB" w:rsidRDefault="000C1BBB" w:rsidP="000C1BBB">
    <w:pPr>
      <w:pStyle w:val="Header"/>
      <w:spacing w:line="480" w:lineRule="auto"/>
      <w:rPr>
        <w:rFonts w:ascii="Times New Roman" w:hAnsi="Times New Roman" w:cs="Times New Roman"/>
        <w:sz w:val="24"/>
        <w:szCs w:val="24"/>
      </w:rPr>
    </w:pPr>
    <w:r w:rsidRPr="000C1BBB">
      <w:rPr>
        <w:rFonts w:ascii="Times New Roman" w:hAnsi="Times New Roman" w:cs="Times New Roman"/>
        <w:sz w:val="24"/>
        <w:szCs w:val="24"/>
      </w:rPr>
      <w:t xml:space="preserve">OPERATING BUDGET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01506063"/>
        <w:docPartObj>
          <w:docPartGallery w:val="Page Numbers (Top of Page)"/>
          <w:docPartUnique/>
        </w:docPartObj>
      </w:sdtPr>
      <w:sdtEndPr>
        <w:rPr>
          <w:noProof/>
        </w:rPr>
      </w:sdtEndPr>
      <w:sdtContent>
        <w:r w:rsidRPr="000C1BBB">
          <w:rPr>
            <w:rFonts w:ascii="Times New Roman" w:hAnsi="Times New Roman" w:cs="Times New Roman"/>
            <w:sz w:val="24"/>
            <w:szCs w:val="24"/>
          </w:rPr>
          <w:fldChar w:fldCharType="begin"/>
        </w:r>
        <w:r w:rsidRPr="000C1BBB">
          <w:rPr>
            <w:rFonts w:ascii="Times New Roman" w:hAnsi="Times New Roman" w:cs="Times New Roman"/>
            <w:sz w:val="24"/>
            <w:szCs w:val="24"/>
          </w:rPr>
          <w:instrText xml:space="preserve"> PAGE   \* MERGEFORMAT </w:instrText>
        </w:r>
        <w:r w:rsidRPr="000C1BBB">
          <w:rPr>
            <w:rFonts w:ascii="Times New Roman" w:hAnsi="Times New Roman" w:cs="Times New Roman"/>
            <w:sz w:val="24"/>
            <w:szCs w:val="24"/>
          </w:rPr>
          <w:fldChar w:fldCharType="separate"/>
        </w:r>
        <w:r w:rsidR="00C10B4E">
          <w:rPr>
            <w:rFonts w:ascii="Times New Roman" w:hAnsi="Times New Roman" w:cs="Times New Roman"/>
            <w:noProof/>
            <w:sz w:val="24"/>
            <w:szCs w:val="24"/>
          </w:rPr>
          <w:t>2</w:t>
        </w:r>
        <w:r w:rsidRPr="000C1BB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BBB" w:rsidRPr="000C1BBB" w:rsidRDefault="000C1BBB" w:rsidP="000C1BBB">
    <w:pPr>
      <w:pStyle w:val="Header"/>
      <w:spacing w:line="480" w:lineRule="auto"/>
      <w:rPr>
        <w:rFonts w:ascii="Times New Roman" w:hAnsi="Times New Roman" w:cs="Times New Roman"/>
        <w:sz w:val="24"/>
        <w:szCs w:val="24"/>
      </w:rPr>
    </w:pPr>
    <w:r w:rsidRPr="000C1BBB">
      <w:rPr>
        <w:rFonts w:ascii="Times New Roman" w:hAnsi="Times New Roman" w:cs="Times New Roman"/>
        <w:sz w:val="24"/>
        <w:szCs w:val="24"/>
      </w:rPr>
      <w:t>Running head: OPERATING BUGDET</w:t>
    </w:r>
    <w:r>
      <w:rPr>
        <w:rFonts w:ascii="Times New Roman" w:hAnsi="Times New Roman" w:cs="Times New Roman"/>
        <w:sz w:val="24"/>
        <w:szCs w:val="24"/>
      </w:rPr>
      <w:tab/>
    </w:r>
    <w:r>
      <w:rPr>
        <w:rFonts w:ascii="Times New Roman" w:hAnsi="Times New Roman" w:cs="Times New Roman"/>
        <w:sz w:val="24"/>
        <w:szCs w:val="24"/>
      </w:rPr>
      <w:tab/>
    </w:r>
    <w:r w:rsidRPr="000C1BBB">
      <w:rPr>
        <w:rFonts w:ascii="Times New Roman" w:hAnsi="Times New Roman" w:cs="Times New Roman"/>
        <w:sz w:val="24"/>
        <w:szCs w:val="24"/>
      </w:rPr>
      <w:t xml:space="preserve"> </w:t>
    </w:r>
    <w:sdt>
      <w:sdtPr>
        <w:rPr>
          <w:rFonts w:ascii="Times New Roman" w:hAnsi="Times New Roman" w:cs="Times New Roman"/>
          <w:sz w:val="24"/>
          <w:szCs w:val="24"/>
        </w:rPr>
        <w:id w:val="761181814"/>
        <w:docPartObj>
          <w:docPartGallery w:val="Page Numbers (Top of Page)"/>
          <w:docPartUnique/>
        </w:docPartObj>
      </w:sdtPr>
      <w:sdtEndPr>
        <w:rPr>
          <w:noProof/>
        </w:rPr>
      </w:sdtEndPr>
      <w:sdtContent>
        <w:r w:rsidRPr="000C1BBB">
          <w:rPr>
            <w:rFonts w:ascii="Times New Roman" w:hAnsi="Times New Roman" w:cs="Times New Roman"/>
            <w:sz w:val="24"/>
            <w:szCs w:val="24"/>
          </w:rPr>
          <w:fldChar w:fldCharType="begin"/>
        </w:r>
        <w:r w:rsidRPr="000C1BBB">
          <w:rPr>
            <w:rFonts w:ascii="Times New Roman" w:hAnsi="Times New Roman" w:cs="Times New Roman"/>
            <w:sz w:val="24"/>
            <w:szCs w:val="24"/>
          </w:rPr>
          <w:instrText xml:space="preserve"> PAGE   \* MERGEFORMAT </w:instrText>
        </w:r>
        <w:r w:rsidRPr="000C1BBB">
          <w:rPr>
            <w:rFonts w:ascii="Times New Roman" w:hAnsi="Times New Roman" w:cs="Times New Roman"/>
            <w:sz w:val="24"/>
            <w:szCs w:val="24"/>
          </w:rPr>
          <w:fldChar w:fldCharType="separate"/>
        </w:r>
        <w:r w:rsidR="00921A2C">
          <w:rPr>
            <w:rFonts w:ascii="Times New Roman" w:hAnsi="Times New Roman" w:cs="Times New Roman"/>
            <w:noProof/>
            <w:sz w:val="24"/>
            <w:szCs w:val="24"/>
          </w:rPr>
          <w:t>1</w:t>
        </w:r>
        <w:r w:rsidRPr="000C1BBB">
          <w:rPr>
            <w:rFonts w:ascii="Times New Roman" w:hAnsi="Times New Roman" w:cs="Times New Roman"/>
            <w:noProof/>
            <w:sz w:val="24"/>
            <w:szCs w:val="24"/>
          </w:rPr>
          <w:fldChar w:fldCharType="end"/>
        </w:r>
      </w:sdtContent>
    </w:sdt>
  </w:p>
  <w:p w:rsidR="000C1BBB" w:rsidRDefault="000C1B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BBB"/>
    <w:rsid w:val="000A667B"/>
    <w:rsid w:val="000C1BBB"/>
    <w:rsid w:val="001B4F0A"/>
    <w:rsid w:val="00371F7B"/>
    <w:rsid w:val="00393A12"/>
    <w:rsid w:val="00454EFF"/>
    <w:rsid w:val="00581386"/>
    <w:rsid w:val="005D5AB4"/>
    <w:rsid w:val="006E4AB7"/>
    <w:rsid w:val="0071669E"/>
    <w:rsid w:val="007537EE"/>
    <w:rsid w:val="007C60CA"/>
    <w:rsid w:val="00887FC0"/>
    <w:rsid w:val="00921A2C"/>
    <w:rsid w:val="0094593C"/>
    <w:rsid w:val="009A1CEA"/>
    <w:rsid w:val="009E7178"/>
    <w:rsid w:val="009E73E2"/>
    <w:rsid w:val="00BF3D9F"/>
    <w:rsid w:val="00C10B4E"/>
    <w:rsid w:val="00D53C8F"/>
    <w:rsid w:val="00E421BF"/>
    <w:rsid w:val="00E60FAD"/>
    <w:rsid w:val="00EC0C03"/>
    <w:rsid w:val="00EE0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BBB"/>
  </w:style>
  <w:style w:type="paragraph" w:styleId="Footer">
    <w:name w:val="footer"/>
    <w:basedOn w:val="Normal"/>
    <w:link w:val="FooterChar"/>
    <w:uiPriority w:val="99"/>
    <w:unhideWhenUsed/>
    <w:rsid w:val="000C1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BBB"/>
  </w:style>
  <w:style w:type="table" w:styleId="TableGrid">
    <w:name w:val="Table Grid"/>
    <w:basedOn w:val="TableNormal"/>
    <w:uiPriority w:val="59"/>
    <w:rsid w:val="00921A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60FAD"/>
    <w:rPr>
      <w:color w:val="0000FF" w:themeColor="hyperlink"/>
      <w:u w:val="single"/>
    </w:rPr>
  </w:style>
  <w:style w:type="paragraph" w:styleId="NormalWeb">
    <w:name w:val="Normal (Web)"/>
    <w:basedOn w:val="Normal"/>
    <w:uiPriority w:val="99"/>
    <w:semiHidden/>
    <w:unhideWhenUsed/>
    <w:rsid w:val="00581386"/>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BBB"/>
  </w:style>
  <w:style w:type="paragraph" w:styleId="Footer">
    <w:name w:val="footer"/>
    <w:basedOn w:val="Normal"/>
    <w:link w:val="FooterChar"/>
    <w:uiPriority w:val="99"/>
    <w:unhideWhenUsed/>
    <w:rsid w:val="000C1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BBB"/>
  </w:style>
  <w:style w:type="table" w:styleId="TableGrid">
    <w:name w:val="Table Grid"/>
    <w:basedOn w:val="TableNormal"/>
    <w:uiPriority w:val="59"/>
    <w:rsid w:val="00921A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60FAD"/>
    <w:rPr>
      <w:color w:val="0000FF" w:themeColor="hyperlink"/>
      <w:u w:val="single"/>
    </w:rPr>
  </w:style>
  <w:style w:type="paragraph" w:styleId="NormalWeb">
    <w:name w:val="Normal (Web)"/>
    <w:basedOn w:val="Normal"/>
    <w:uiPriority w:val="99"/>
    <w:semiHidden/>
    <w:unhideWhenUsed/>
    <w:rsid w:val="0058138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55335">
      <w:bodyDiv w:val="1"/>
      <w:marLeft w:val="0"/>
      <w:marRight w:val="0"/>
      <w:marTop w:val="0"/>
      <w:marBottom w:val="0"/>
      <w:divBdr>
        <w:top w:val="none" w:sz="0" w:space="0" w:color="auto"/>
        <w:left w:val="none" w:sz="0" w:space="0" w:color="auto"/>
        <w:bottom w:val="none" w:sz="0" w:space="0" w:color="auto"/>
        <w:right w:val="none" w:sz="0" w:space="0" w:color="auto"/>
      </w:divBdr>
    </w:div>
    <w:div w:id="1338733191">
      <w:bodyDiv w:val="1"/>
      <w:marLeft w:val="0"/>
      <w:marRight w:val="0"/>
      <w:marTop w:val="0"/>
      <w:marBottom w:val="0"/>
      <w:divBdr>
        <w:top w:val="none" w:sz="0" w:space="0" w:color="auto"/>
        <w:left w:val="none" w:sz="0" w:space="0" w:color="auto"/>
        <w:bottom w:val="none" w:sz="0" w:space="0" w:color="auto"/>
        <w:right w:val="none" w:sz="0" w:space="0" w:color="auto"/>
      </w:divBdr>
    </w:div>
    <w:div w:id="171554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81280584_A_BUDGET_PLANNING_MODEL_FOR_HEALTH_CARE_CLINICS" TargetMode="External"/><Relationship Id="rId3" Type="http://schemas.openxmlformats.org/officeDocument/2006/relationships/settings" Target="settings.xml"/><Relationship Id="rId7" Type="http://schemas.openxmlformats.org/officeDocument/2006/relationships/hyperlink" Target="https://doi.org/10.1097/01.numa.0000347410.73201.4b"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6</Pages>
  <Words>2338</Words>
  <Characters>13329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2020-06-18T12:34:00Z</dcterms:created>
  <dcterms:modified xsi:type="dcterms:W3CDTF">2020-06-18T16:18:00Z</dcterms:modified>
</cp:coreProperties>
</file>